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D5" w:rsidRPr="00B37BF5" w:rsidRDefault="00770ED5" w:rsidP="00B37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37BF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Тема 8. Формирование и хранение дел.</w:t>
      </w:r>
    </w:p>
    <w:p w:rsid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70ED5" w:rsidRP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Цель изучения: </w:t>
      </w:r>
      <w:r w:rsidR="00770ED5" w:rsidRPr="00B37BF5">
        <w:rPr>
          <w:rFonts w:ascii="Times New Roman" w:hAnsi="Times New Roman" w:cs="Times New Roman"/>
          <w:sz w:val="28"/>
          <w:szCs w:val="28"/>
          <w:lang w:eastAsia="ru-RU"/>
        </w:rPr>
        <w:t>изучение процесса формирования дел; ознакомление с основными этапами работы по подготовке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окументов к архивному хранению.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Вопросы для изучения:</w:t>
      </w: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1. Составление номенклатуры дел.</w:t>
      </w: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2. Формирование и оформление дел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3. Подготовка и передача документов на архивное хранение.</w:t>
      </w:r>
    </w:p>
    <w:p w:rsid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ED5" w:rsidRPr="00B37BF5" w:rsidRDefault="00770ED5" w:rsidP="00B3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37B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Составление номенклатуры дел.</w:t>
      </w:r>
    </w:p>
    <w:p w:rsidR="00B37BF5" w:rsidRDefault="00B37BF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организации текущего хранения документов в значительной степени предопределяется тем, насколько продумана номенклатура дел предприятия. </w:t>
      </w:r>
      <w:r w:rsidRPr="00B37BF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Номенклатура дел</w:t>
      </w:r>
      <w:r w:rsidR="00B37BF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это систематизированный перечень наименований дел, заводимых в организации, с указанием сроков их хранения. 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В свою очередь, </w:t>
      </w:r>
      <w:r w:rsidRPr="00B37B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делом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совокупность документов или документ, относящийся к одному вопросу или участку деятельности, помещенных в отдельную папку. </w:t>
      </w:r>
      <w:r w:rsidR="00B37BF5">
        <w:rPr>
          <w:rFonts w:ascii="Times New Roman" w:hAnsi="Times New Roman" w:cs="Times New Roman"/>
          <w:sz w:val="28"/>
          <w:szCs w:val="28"/>
          <w:lang w:eastAsia="ru-RU"/>
        </w:rPr>
        <w:t xml:space="preserve">Такое определение содержится в </w:t>
      </w:r>
      <w:hyperlink r:id="rId6" w:tgtFrame="_blank" w:history="1"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ГОСТе </w:t>
        </w:r>
        <w:proofErr w:type="gramStart"/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Р</w:t>
        </w:r>
        <w:proofErr w:type="gramEnd"/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51141-98 «Делопроизводство и архивное дело. Термины и определения» (далее – ГОСТ </w:t>
        </w:r>
        <w:proofErr w:type="gramStart"/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Р</w:t>
        </w:r>
        <w:proofErr w:type="gramEnd"/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51141-98).</w:t>
        </w:r>
      </w:hyperlink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u w:val="wave"/>
          <w:lang w:eastAsia="ru-RU"/>
        </w:rPr>
        <w:t>Номенклатура дел составляется для обеспечения оптимального распределения документов и формирования дел, и, в конечном счете – для обеспечения эффективного поиска документов в процессе повседневной работы с ними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Различают сводную номенклатуру дел организации и номенклатуру дел структурных подразделений. Сводная номенклатура дел состоит из номенклатур дел структурных подразделений.</w:t>
      </w:r>
      <w:r w:rsidR="00B37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7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целях унификации группировки документов для предприятий определенной категории существуют примерные и типовые номенклатуры дел. Они являются методическими пособиями, другими словами, основываясь на них, организация может составить номенклатуру дел для себя и для своих подразделений.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 небольших организациях, у которых нет структурного деления, составляется одна номенклатура. Как правило, ее составляет секретарь-референт. Сводную номенклатуру большой организации составляет делопроизводственная служба. Далее приведена форма номенклатуры дел для сдачи документов на негосударственное хранение.</w:t>
      </w: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Если организация сдает документы на государственное хранение, требуется согласование номенклатуры дел с Экспертно-проверочной комиссией (ЭПК) государственного архива.</w:t>
      </w: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последовательность расположения разделов в сводной номенклатуре дел может выглядеть следующим образом: </w:t>
      </w:r>
    </w:p>
    <w:p w:rsidR="00B37BF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канцелярия, </w:t>
      </w:r>
    </w:p>
    <w:p w:rsidR="00B37BF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производственно-технический отдел, </w:t>
      </w:r>
    </w:p>
    <w:p w:rsidR="00B37BF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отдел организации труда и заработной платы, </w:t>
      </w:r>
    </w:p>
    <w:p w:rsidR="00B37BF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бухгалтерия, </w:t>
      </w:r>
    </w:p>
    <w:p w:rsidR="00B37BF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отдел кадров, </w:t>
      </w:r>
    </w:p>
    <w:p w:rsidR="00770ED5" w:rsidRPr="00B37BF5" w:rsidRDefault="00770ED5" w:rsidP="00B37BF5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административно-хозяйственный отдел.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Сводная номенклатура дел должна предусматривать заголовки для всех документов, образующихся в деятельности организации. Не включаются в номенклатуру дел заголовки печатных изданий (тарифы, справочники и т. п.). Заголовки дел по не разрешенным в течение данного года вопросам считаются переходящими и вносятся в номенклатуру дел организации следующего года с тем же индексом.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Номенклатура дел организации печатается в нескольких экземплярах. </w:t>
      </w:r>
      <w:r w:rsidRPr="00B37BF5">
        <w:rPr>
          <w:rFonts w:ascii="Times New Roman" w:hAnsi="Times New Roman" w:cs="Times New Roman"/>
          <w:i/>
          <w:sz w:val="28"/>
          <w:szCs w:val="28"/>
          <w:u w:val="wave"/>
          <w:lang w:eastAsia="ru-RU"/>
        </w:rPr>
        <w:t>Первы</w:t>
      </w:r>
      <w:r w:rsidR="00B37BF5">
        <w:rPr>
          <w:rFonts w:ascii="Times New Roman" w:hAnsi="Times New Roman" w:cs="Times New Roman"/>
          <w:i/>
          <w:sz w:val="28"/>
          <w:szCs w:val="28"/>
          <w:u w:val="wave"/>
          <w:lang w:eastAsia="ru-RU"/>
        </w:rPr>
        <w:t>й</w:t>
      </w:r>
      <w:r w:rsidRPr="00B37BF5">
        <w:rPr>
          <w:rFonts w:ascii="Times New Roman" w:hAnsi="Times New Roman" w:cs="Times New Roman"/>
          <w:i/>
          <w:sz w:val="28"/>
          <w:szCs w:val="28"/>
          <w:u w:val="wave"/>
          <w:lang w:eastAsia="ru-RU"/>
        </w:rPr>
        <w:t xml:space="preserve"> экземпляр (контрольный) хранится в канцелярии, второй используется в качестве рабочего экземпляра, третий находится у лица, ответственного за архив в качестве учетного документа, четвертый – в государственном архиве, в который передаются документы данной организации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О фактическом наличии заведенных за год дел сообщается архиву организации. Сводная номенклатура дел организации пересматривается не реже, чем раз в 5 лет. В конце каждого года она уточняется руководителем организации и вводится в действие с 1 января нового календарного года.</w:t>
      </w:r>
    </w:p>
    <w:p w:rsid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ED5" w:rsidRPr="00B37BF5" w:rsidRDefault="00770ED5" w:rsidP="00B3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37B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Формирование и оформление дел</w:t>
      </w:r>
    </w:p>
    <w:p w:rsidR="00B37BF5" w:rsidRP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Формирование дел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- это группирование исполненных документов в дело в соответствии с номенклатурой дел и систематизация документов внутри дела.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Единые требования к формированию и оформлению дел изложены в Государственной системе документального обеспечения управления (</w:t>
      </w:r>
      <w:hyperlink r:id="rId7" w:tgtFrame="_blank" w:history="1"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ГСДОУ</w:t>
        </w:r>
      </w:hyperlink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), которая утверждена приказом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Главархива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СССР от 25 мая 1988 г. № 33. Эта система издана еще в советские времена, но, тем не менее, действует до сих пор.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Формирование дел должно отвечать следующим основным требованиям: оперативность поиска документов; надежность документационного обслуживания управления; сохранность документов.</w:t>
      </w:r>
    </w:p>
    <w:p w:rsid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B37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B37BF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ГСДОУ</w:t>
        </w:r>
      </w:hyperlink>
      <w:r w:rsidR="00B37BF5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>формирование дел должно осуществляться централизованно по месту регистрации документов. Основой формирования дел является номенклатура дел соответственно организации или ее подразделений.</w:t>
      </w:r>
    </w:p>
    <w:p w:rsidR="00B37BF5" w:rsidRDefault="00B37BF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ED5" w:rsidRPr="00B37BF5" w:rsidRDefault="00770ED5" w:rsidP="00B3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Работа по формированию дел состоит из следующих операций:</w:t>
      </w:r>
    </w:p>
    <w:p w:rsidR="00770ED5" w:rsidRPr="00B37BF5" w:rsidRDefault="00770ED5" w:rsidP="00B37BF5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распределение и раскладка исполненных документов в дела;</w:t>
      </w:r>
    </w:p>
    <w:p w:rsidR="00770ED5" w:rsidRPr="00B37BF5" w:rsidRDefault="00770ED5" w:rsidP="00B37BF5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расположение документов внутри дел в определенной последовательности;</w:t>
      </w:r>
    </w:p>
    <w:p w:rsidR="00770ED5" w:rsidRPr="00B37BF5" w:rsidRDefault="00770ED5" w:rsidP="00B37BF5">
      <w:pPr>
        <w:pStyle w:val="a6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оформление обложек дел.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Каждое дело комплектуется из документов по одному вопросу, имеющих один срок хранения. В дело помещают только исполненные документы (подлинники или заверенные копии). Документы постоянного или временного сроков хранения группируются в дела раздельно.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 дела группируются документы одного календарного года. Исключение составляют переходящие дела, в которые группируют документы за несколько лет (например, личные дела).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Документы в деле располагают в определенном порядке: сначала помещают основной документ и относящиеся к нему приложения, а затем в хронологическом порядке идут документы, возникающие по мере решения вопроса.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Приложения к документам независимо от даты их утверждения или составления присоединяются к документам, к которым они относятся.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Переписка группируется в пределах календарного года и располагается в хронологическом порядке. Приказы по личному составу комплектуются в дела в соответствии со сроками их хранения. Приказы (распоряжения) о приеме на работу, переводе на другую должность, поощрении, длительных командировках, изменении фамилии группируются в одно дело.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Приказы о предоставлении отпуска, взысканиях, краткосрочных командировках – в другое дело. Раздельное формирование дел объясняется разностью в сроках хранения: срок хранения документов первой группы 75 лет, второй – 5.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Каждый документ, помещенный в дело, должен быть оформлен в соответствии с требованиями государственных стандартов и других нормативных актов. Неправильно оформленные документы возвращаются исполнителю для доработки.</w:t>
      </w:r>
    </w:p>
    <w:p w:rsidR="005A01A2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Дело должно содержать не более 250 листов, при общей толщине не более 40 мм.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Оформление дел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подготовка дел к хранению в соответствии с установленными правилами.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дел начинается с момента заведения их в организации и заканчивается в процессе подготовки к передаче в архив по окончании календарного года, в котором они были заведены. Оформление конкретного дела включает комплекс работ по брошюровке документов, нумерации листов, составлению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надписи, составлению (в ряде случаев) внутренней описи документов, уточнению на обложке дела названия организации, делопроизводственного индекса, заголовка дела и т.д.</w:t>
      </w:r>
    </w:p>
    <w:p w:rsidR="005A01A2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Оформление дел проводится работниками службы документационного обеспечения организации и структурных подразделений.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Дела подшиваются в твердую обложку, листы нумеруются. В конце дела на отдельном листе ставится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надпись. Наиболее ценные документы (например, рукописи и т.п.) не подшивают, а вкладывают в папки или коробки.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дел, сформированных по видам и разновидностям документов, заголовки которых не полностью раскрывают их содержание, рекомендуется составлять внутреннюю опись документов. Внутреннюю опись помещают в начале дела.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(лист-заверитель) помещают в конце дела.</w:t>
      </w:r>
      <w:r w:rsidR="005A01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>Обложки дел оформляют в соответствии с требованиями ГОСТ 17914-72. Надписи на обложке следует писать четко.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После завершения года на дела постоянного и временного (свыше 10 лет) сроков хранения лицами, ответственными за работу с документами в структурных подразделениях, составляются описи дел для последующей передачи в архив. Отдельная опись составляется надела по личному составу организации.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u w:val="wave"/>
          <w:lang w:eastAsia="ru-RU"/>
        </w:rPr>
        <w:t>Каждое дело вносится в опись под самостоятельным порядковым номером. Описи утверждает руководитель организации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. Перед утверждением описи должны получить одобрение 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 Если документы передаются в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>, то описи по таким делам согласованы (утверждены) ЭПК архивной организации.</w:t>
      </w:r>
    </w:p>
    <w:p w:rsidR="005A01A2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Годовые разделы описей дел, предназначенные для передачи в государственный архив, печатают в четырех экземплярах. Описи дел, остающиеся в архиве организации, печатают в двух экземплярах.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 архив организации передаются дела постоянного и временного (свыше 10 лет) хранения, а также дела по личному составу через год после завершения работы с ними в структурных подразделениях. Дела временного хранения (до 10 лет включительно) передают в архив по усмотрению руководства организации (учитываются возможности архива, частота обращения к документам прошлых лет и т.д.).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Документы, как уже говорилось, принимают в архив после проведения экспертизы ценности и оформления дел постоянного и временного хранения (свыше 10 лет) по описям, одобренным экспертной комиссией организации. Дела временного хранения (до 10 лет включительно) принимают по номенклатурам дел.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Если отдельные дела необходимо оставить или выдать для текущей работы, архив организации оформляет выдачу этих дел во временное пользование. Сотрудник архива, принимая дела, тщательно сверяет каждое дело с описью, проверяет правильность формирования и оформления дела.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Вместе с делами в архив передаются регистрационные карточки на сдаваемые документы для пополнения ими справочного аппарата архива.</w:t>
      </w:r>
      <w:r w:rsidR="005A01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До передачи в государственные архивы документы, подлежащие государственному хранению, хранятся в архивах организаций и предприятий в течение сроков, установленных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Главархивом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России. По истечении установленных сроков документы, подлежащие государственному хранению, передаются по акту их архивов организаций и предприятий в государственные архивы.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Методическое руководство и 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правильным формированием дел в структурных подразделениях осуществляют заведующий канцелярией и заведующий архивом.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Документы следует хранить в составе дел в соответствии с утвержденной номенклатурой. Для этого отводят необходимые помещения, где устанавливают запирающиеся шкафы (столы), обеспечивающие полную сохранность документов. Хранить документы в неприспособленных для этой цели рабочих помещениях запрещается.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Чтобы обеспечить оперативный поиск документов, на дверцах шкафов (с внутренней стороны) помещаются копии номенклатуры дел, а на корешках обложек дел указываются номера дел в соответствии с номенклатурой. Шкафы (столы) также оборудуются приспособлениями для опечатывания.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Доступ к шкафам (столам) с документами должны иметь только уполномоченные сотрудники отдела хранения документов и их непосредственный начальник. Выдавать же документы следует только под роспись и лишь на время, необходимое для ознакомления с содержанием документа, но не более чем на один рабочий день.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Подготовка и передача документов на архивное хранение.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Подготовка исполненных документов к последующему хранению является завершающим эт</w:t>
      </w:r>
      <w:r w:rsidR="005A01A2">
        <w:rPr>
          <w:rFonts w:ascii="Times New Roman" w:hAnsi="Times New Roman" w:cs="Times New Roman"/>
          <w:sz w:val="28"/>
          <w:szCs w:val="28"/>
          <w:lang w:eastAsia="ru-RU"/>
        </w:rPr>
        <w:t xml:space="preserve">апом процесса делопроизводства. </w:t>
      </w:r>
      <w:r w:rsidRPr="00B37B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Основная цель хранения документов</w:t>
      </w:r>
      <w:r w:rsidR="005A01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это создание условий для их использования в справочной работе учреждений и пополнение Государственного архивного фонда РФ.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Подготовка исполненных документов к хранению включает:</w:t>
      </w:r>
    </w:p>
    <w:p w:rsidR="00770ED5" w:rsidRPr="005A01A2" w:rsidRDefault="00770ED5" w:rsidP="005A01A2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lang w:eastAsia="ru-RU"/>
        </w:rPr>
        <w:t>экспертизу ценности документов;</w:t>
      </w:r>
    </w:p>
    <w:p w:rsidR="00770ED5" w:rsidRPr="005A01A2" w:rsidRDefault="00770ED5" w:rsidP="005A01A2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документов, сдаваемых в архив;</w:t>
      </w:r>
    </w:p>
    <w:p w:rsidR="00770ED5" w:rsidRPr="005A01A2" w:rsidRDefault="00770ED5" w:rsidP="005A01A2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lang w:eastAsia="ru-RU"/>
        </w:rPr>
        <w:t>составление описи документов постоянного и долговременного хранения;</w:t>
      </w:r>
    </w:p>
    <w:p w:rsidR="00770ED5" w:rsidRPr="005A01A2" w:rsidRDefault="00770ED5" w:rsidP="005A01A2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lang w:eastAsia="ru-RU"/>
        </w:rPr>
        <w:t>обеспечение сохранности дел;</w:t>
      </w:r>
    </w:p>
    <w:p w:rsidR="00770ED5" w:rsidRPr="005A01A2" w:rsidRDefault="00770ED5" w:rsidP="005A01A2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A2">
        <w:rPr>
          <w:rFonts w:ascii="Times New Roman" w:hAnsi="Times New Roman" w:cs="Times New Roman"/>
          <w:sz w:val="28"/>
          <w:szCs w:val="28"/>
          <w:lang w:eastAsia="ru-RU"/>
        </w:rPr>
        <w:t>передачу дел в архив.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Экспертиза ценности документов – это отбор документов на государственное хранение или установление сроков их хранения. Как правило, обязанность сдавать документы в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госархивы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>, возложена на государственные и муниципальные организации.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Однако некоторые негосударственные предприятия, с которыми заключены соответствующие соглашения, также должны это делать. Это, так называемые источники комплектования архивов. Перечни таких предприятий определяются в соответствии с Основами законодательства Российской Федерации об Архивном фонде Российской Федерации и архивах от 7 июля 1993 г. № 5341-1 и Положения об Архивном фонде Российской Федерации, утвержденного Указом Президента РФ от 17 марта 1994 г. № 552.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и проведения экспертизы ценности документов и отбора их для передачи на государственное хранение, а также для контроля и </w:t>
      </w: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оказания методической помощи в проведении экспертизы в министерствах и ведомствах создаются постоянно действующие центральные экспертные комиссии (ЦЭК). В остальных организациях создаются постоянно действующие экспертные комиссии (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Экспертная комиссия организации создается приказом руководителя из числа наиболее квалифицированных работников в количестве не менее трех человек. Экспертная комиссия организации в своей работе должна руководствоваться Положением об архивном фонде Российской Федерации, требованиями ГСДОУ, приказами Федеральной архивной службы России, нормативно-методическими документами, разработанными архивными органами, типовыми перечнями документов с указанием сроков их хранения.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специалистов организации проверяют правильность проведенного отбора документов на хранение и уничтожение путем просмотра описей актов и других документов. Экспертная комиссия работает в контакте с экспертно-проверочной комиссией (ЭПК) архивного учреждения, которая утверждает решения 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. Негосударственные организации самостоятельно принимают решения по экспертизе ценности документов. Результатом работы </w:t>
      </w:r>
      <w:proofErr w:type="gram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распределение документов на четыре группы по различным срокам хранения: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постоянного хранения;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временного хранения (свыше 10 лет);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временного хранения (до 10 лет);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подлежащие уничтожению в связи с истечением срока хранения.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Дела постоянного и временного хранения (свыше 10 лет), как правило, находятся в архиве организации. Однако если документы имеют, скажем, историческую или научную ценность, то предприятие передает их в государственный или муниципальный архив. Конечно же, при условии, что с ними заключено соответствующее соглашение. Передача их осуществляется по описям.</w:t>
      </w:r>
    </w:p>
    <w:p w:rsidR="0040148C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Дела временного хранения (до 10 лет) хранятся централизованно в организации, а по истечении срока хранения уничтожаются.</w:t>
      </w:r>
    </w:p>
    <w:p w:rsidR="0040148C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Уничтожение документов и дел оформляется актом.</w:t>
      </w:r>
    </w:p>
    <w:p w:rsidR="0040148C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Уничтожение дел с истекшим сроком хранения, имеющих грифы «Секретно», «Для служебного пользования», «Конфиденциально», производится в соответствии со специальными инструкциями.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Все дела, отобранные на архивное хранение, оформляются следующим образом: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документы в деле переформировывают и располагают в хронологическом порядке;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нумеруют листы дела в правом верхнем углу;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дела подшивают </w:t>
      </w:r>
      <w:proofErr w:type="spellStart"/>
      <w:r w:rsidRPr="00B37BF5">
        <w:rPr>
          <w:rFonts w:ascii="Times New Roman" w:hAnsi="Times New Roman" w:cs="Times New Roman"/>
          <w:sz w:val="28"/>
          <w:szCs w:val="28"/>
          <w:lang w:eastAsia="ru-RU"/>
        </w:rPr>
        <w:t>заверительный</w:t>
      </w:r>
      <w:proofErr w:type="spellEnd"/>
      <w:r w:rsidRPr="00B37BF5">
        <w:rPr>
          <w:rFonts w:ascii="Times New Roman" w:hAnsi="Times New Roman" w:cs="Times New Roman"/>
          <w:sz w:val="28"/>
          <w:szCs w:val="28"/>
          <w:lang w:eastAsia="ru-RU"/>
        </w:rPr>
        <w:t xml:space="preserve"> лист, в котором указывают количество листов в деле;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на наиболее важные документы составляют внутренние описи дел и подшивают их в начале дела;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t>переплетают дело;</w:t>
      </w:r>
    </w:p>
    <w:p w:rsidR="00770ED5" w:rsidRPr="00B37BF5" w:rsidRDefault="00770ED5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обложке дела дополнительно указывают количество листов, срок хранения дела. Уточняют заголовок и крайние даты дела.</w:t>
      </w:r>
    </w:p>
    <w:p w:rsidR="006D41B7" w:rsidRPr="00B37BF5" w:rsidRDefault="003F3B3C" w:rsidP="00B3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41B7" w:rsidRPr="00B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130"/>
    <w:multiLevelType w:val="multilevel"/>
    <w:tmpl w:val="016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D4FFD"/>
    <w:multiLevelType w:val="hybridMultilevel"/>
    <w:tmpl w:val="C7905820"/>
    <w:lvl w:ilvl="0" w:tplc="A7EE0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305CE"/>
    <w:multiLevelType w:val="multilevel"/>
    <w:tmpl w:val="B2A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91ECA"/>
    <w:multiLevelType w:val="multilevel"/>
    <w:tmpl w:val="DBE0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14F5A"/>
    <w:multiLevelType w:val="multilevel"/>
    <w:tmpl w:val="CE9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152DA"/>
    <w:multiLevelType w:val="hybridMultilevel"/>
    <w:tmpl w:val="5EA432B4"/>
    <w:lvl w:ilvl="0" w:tplc="A7EE0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05F7"/>
    <w:multiLevelType w:val="hybridMultilevel"/>
    <w:tmpl w:val="0860C2B0"/>
    <w:lvl w:ilvl="0" w:tplc="A7EE0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5"/>
    <w:rsid w:val="00090DDD"/>
    <w:rsid w:val="003F3B3C"/>
    <w:rsid w:val="0040148C"/>
    <w:rsid w:val="005A01A2"/>
    <w:rsid w:val="00770ED5"/>
    <w:rsid w:val="008B4C57"/>
    <w:rsid w:val="00B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0ED5"/>
    <w:rPr>
      <w:b/>
      <w:bCs/>
    </w:rPr>
  </w:style>
  <w:style w:type="character" w:styleId="a4">
    <w:name w:val="Emphasis"/>
    <w:basedOn w:val="a0"/>
    <w:uiPriority w:val="20"/>
    <w:qFormat/>
    <w:rsid w:val="00770ED5"/>
    <w:rPr>
      <w:i/>
      <w:iCs/>
    </w:rPr>
  </w:style>
  <w:style w:type="character" w:styleId="a5">
    <w:name w:val="Hyperlink"/>
    <w:basedOn w:val="a0"/>
    <w:uiPriority w:val="99"/>
    <w:semiHidden/>
    <w:unhideWhenUsed/>
    <w:rsid w:val="00770E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0ED5"/>
    <w:rPr>
      <w:b/>
      <w:bCs/>
    </w:rPr>
  </w:style>
  <w:style w:type="character" w:styleId="a4">
    <w:name w:val="Emphasis"/>
    <w:basedOn w:val="a0"/>
    <w:uiPriority w:val="20"/>
    <w:qFormat/>
    <w:rsid w:val="00770ED5"/>
    <w:rPr>
      <w:i/>
      <w:iCs/>
    </w:rPr>
  </w:style>
  <w:style w:type="character" w:styleId="a5">
    <w:name w:val="Hyperlink"/>
    <w:basedOn w:val="a0"/>
    <w:uiPriority w:val="99"/>
    <w:semiHidden/>
    <w:unhideWhenUsed/>
    <w:rsid w:val="00770E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kd.tolgas.ru/euk/dou/gost/GSDOU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kd.tolgas.ru/euk/dou/gost/GSDO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kd.tolgas.ru/euk/dou/gost/51141_98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dcterms:created xsi:type="dcterms:W3CDTF">2018-11-30T07:19:00Z</dcterms:created>
  <dcterms:modified xsi:type="dcterms:W3CDTF">2020-01-16T08:53:00Z</dcterms:modified>
</cp:coreProperties>
</file>